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1D" w:rsidRDefault="0080538E" w:rsidP="00386C18">
      <w:pPr>
        <w:spacing w:after="0" w:line="240" w:lineRule="auto"/>
      </w:pPr>
    </w:p>
    <w:p w:rsidR="008C1E51" w:rsidRPr="008C1E51" w:rsidRDefault="008C1E51" w:rsidP="00386C18">
      <w:pPr>
        <w:spacing w:after="0" w:line="240" w:lineRule="auto"/>
        <w:jc w:val="center"/>
        <w:rPr>
          <w:b/>
          <w:sz w:val="32"/>
          <w:szCs w:val="32"/>
        </w:rPr>
      </w:pPr>
      <w:r w:rsidRPr="008C1E51">
        <w:rPr>
          <w:b/>
          <w:sz w:val="32"/>
          <w:szCs w:val="32"/>
        </w:rPr>
        <w:t>Case-study: 33_US_WaterQuality_BottledWaterSales_2006_2019Data</w:t>
      </w:r>
    </w:p>
    <w:p w:rsidR="008C1E51" w:rsidRDefault="008C1E51" w:rsidP="00386C18">
      <w:pPr>
        <w:spacing w:after="0" w:line="240" w:lineRule="auto"/>
      </w:pPr>
    </w:p>
    <w:p w:rsidR="003C42FA" w:rsidRDefault="003C42FA" w:rsidP="00386C18">
      <w:pPr>
        <w:pStyle w:val="ListParagraph"/>
        <w:numPr>
          <w:ilvl w:val="0"/>
          <w:numId w:val="1"/>
        </w:numPr>
        <w:spacing w:after="0" w:line="240" w:lineRule="auto"/>
      </w:pPr>
      <w:r w:rsidRPr="003C42FA">
        <w:t>US_Water</w:t>
      </w:r>
      <w:r w:rsidRPr="003C42FA">
        <w:rPr>
          <w:b/>
        </w:rPr>
        <w:t>Violations</w:t>
      </w:r>
      <w:r w:rsidRPr="003C42FA">
        <w:t>_Quality_BottledWaterSales_1982_2015RegressionData.csv</w:t>
      </w:r>
    </w:p>
    <w:p w:rsidR="003C42FA" w:rsidRDefault="003C42FA" w:rsidP="00386C18">
      <w:pPr>
        <w:pStyle w:val="ListParagraph"/>
        <w:numPr>
          <w:ilvl w:val="0"/>
          <w:numId w:val="1"/>
        </w:numPr>
        <w:spacing w:after="0" w:line="240" w:lineRule="auto"/>
      </w:pPr>
      <w:r w:rsidRPr="003C42FA">
        <w:t>US_</w:t>
      </w:r>
      <w:r w:rsidRPr="003C42FA">
        <w:rPr>
          <w:b/>
        </w:rPr>
        <w:t>WaterQuality_BottledWaterSales</w:t>
      </w:r>
      <w:r w:rsidRPr="003C42FA">
        <w:t>_2006_2019RegressionData</w:t>
      </w:r>
    </w:p>
    <w:p w:rsidR="008C1E51" w:rsidRDefault="008C1E51" w:rsidP="00386C18">
      <w:pPr>
        <w:spacing w:after="0" w:line="240" w:lineRule="auto"/>
      </w:pPr>
    </w:p>
    <w:p w:rsidR="008C1E51" w:rsidRPr="008C1E51" w:rsidRDefault="008C1E51" w:rsidP="00386C18">
      <w:pPr>
        <w:spacing w:after="0" w:line="240" w:lineRule="auto"/>
        <w:rPr>
          <w:b/>
        </w:rPr>
      </w:pPr>
      <w:r w:rsidRPr="008C1E51">
        <w:rPr>
          <w:b/>
        </w:rPr>
        <w:t xml:space="preserve">Summary </w:t>
      </w:r>
    </w:p>
    <w:p w:rsidR="008C1E51" w:rsidRDefault="008C1E51" w:rsidP="00386C18">
      <w:pPr>
        <w:spacing w:after="0" w:line="240" w:lineRule="auto"/>
      </w:pPr>
      <w:r>
        <w:t>Dataset allows examining the quality of d</w:t>
      </w:r>
      <w:r>
        <w:t xml:space="preserve">rinking-water </w:t>
      </w:r>
      <w:r>
        <w:t>and sales of bottled water in US. Globally, in developed countries, 10-</w:t>
      </w:r>
      <w:r>
        <w:t>4</w:t>
      </w:r>
      <w:r>
        <w:t>0</w:t>
      </w:r>
      <w:r>
        <w:t xml:space="preserve"> million people have been affected by water quality violations </w:t>
      </w:r>
      <w:r>
        <w:t>(1985-2019)</w:t>
      </w:r>
      <w:r>
        <w:t xml:space="preserve">. </w:t>
      </w:r>
    </w:p>
    <w:p w:rsidR="008C1E51" w:rsidRDefault="008C1E51" w:rsidP="00386C18">
      <w:pPr>
        <w:spacing w:after="0" w:line="240" w:lineRule="auto"/>
      </w:pPr>
      <w:r>
        <w:t>Weekly d</w:t>
      </w:r>
      <w:r>
        <w:t>ata</w:t>
      </w:r>
      <w:r>
        <w:t xml:space="preserve"> of</w:t>
      </w:r>
      <w:r>
        <w:t xml:space="preserve"> sales and violation records in 2,151 </w:t>
      </w:r>
      <w:r>
        <w:t xml:space="preserve">US </w:t>
      </w:r>
      <w:r>
        <w:t xml:space="preserve">counties </w:t>
      </w:r>
      <w:r>
        <w:t>(</w:t>
      </w:r>
      <w:r>
        <w:t>2006</w:t>
      </w:r>
      <w:r>
        <w:t>-</w:t>
      </w:r>
      <w:r>
        <w:t>2015</w:t>
      </w:r>
      <w:r>
        <w:t>)</w:t>
      </w:r>
      <w:r>
        <w:t xml:space="preserve"> show that violations </w:t>
      </w:r>
      <w:r>
        <w:t>posing</w:t>
      </w:r>
      <w:r>
        <w:t xml:space="preserve"> an immediate health risk</w:t>
      </w:r>
      <w:r>
        <w:t xml:space="preserve"> (tier-1)</w:t>
      </w:r>
      <w:r>
        <w:t xml:space="preserve"> are associated with a 14% increase in bottled water sales. </w:t>
      </w:r>
    </w:p>
    <w:p w:rsidR="00533662" w:rsidRDefault="00533662" w:rsidP="00386C18">
      <w:pPr>
        <w:spacing w:after="0" w:line="240" w:lineRule="auto"/>
      </w:pPr>
      <w:r>
        <w:t>G</w:t>
      </w:r>
      <w:r w:rsidR="008C1E51">
        <w:t xml:space="preserve">reater averting action is taken against </w:t>
      </w:r>
      <w:r>
        <w:t xml:space="preserve">water </w:t>
      </w:r>
      <w:r w:rsidR="008C1E51">
        <w:t xml:space="preserve">contaminants that might pose a greater perceived health risk and that require more immediate public notification. </w:t>
      </w:r>
    </w:p>
    <w:p w:rsidR="00533662" w:rsidRDefault="008C1E51" w:rsidP="00386C18">
      <w:pPr>
        <w:spacing w:after="0" w:line="240" w:lineRule="auto"/>
      </w:pPr>
      <w:r>
        <w:t xml:space="preserve">Rural, low-income communities do not take significant averting action for elevated levels of nitrate, </w:t>
      </w:r>
      <w:r w:rsidR="00533662">
        <w:t>but</w:t>
      </w:r>
      <w:r>
        <w:t xml:space="preserve"> experience a higher prevalence of nitrate violations.</w:t>
      </w:r>
    </w:p>
    <w:p w:rsidR="008C1E51" w:rsidRDefault="00533662" w:rsidP="00386C18">
      <w:pPr>
        <w:spacing w:after="0" w:line="240" w:lineRule="auto"/>
      </w:pPr>
      <w:r>
        <w:t xml:space="preserve">This study </w:t>
      </w:r>
      <w:r w:rsidR="008C1E51">
        <w:t>can inform improvements in public notification and targeting of technical assistance from state regulators and public health agencies in order to reduce community exposure to contaminants.</w:t>
      </w:r>
    </w:p>
    <w:p w:rsidR="008C1E51" w:rsidRDefault="008C1E51" w:rsidP="00386C18">
      <w:pPr>
        <w:spacing w:after="0" w:line="240" w:lineRule="auto"/>
      </w:pPr>
    </w:p>
    <w:p w:rsidR="008C1E51" w:rsidRPr="008C1E51" w:rsidRDefault="008C1E51" w:rsidP="00386C18">
      <w:pPr>
        <w:spacing w:after="0" w:line="240" w:lineRule="auto"/>
        <w:rPr>
          <w:b/>
        </w:rPr>
      </w:pPr>
      <w:r w:rsidRPr="008C1E51">
        <w:rPr>
          <w:b/>
        </w:rPr>
        <w:t>Provenance</w:t>
      </w:r>
    </w:p>
    <w:p w:rsidR="008C1E51" w:rsidRDefault="00533662" w:rsidP="00386C18">
      <w:pPr>
        <w:pStyle w:val="ListParagraph"/>
        <w:numPr>
          <w:ilvl w:val="0"/>
          <w:numId w:val="1"/>
        </w:numPr>
        <w:spacing w:after="0" w:line="240" w:lineRule="auto"/>
      </w:pPr>
      <w:r w:rsidRPr="00533662">
        <w:rPr>
          <w:b/>
        </w:rPr>
        <w:t>Paper</w:t>
      </w:r>
      <w:r w:rsidR="008C1E51">
        <w:t xml:space="preserve">: </w:t>
      </w:r>
      <w:proofErr w:type="spellStart"/>
      <w:r w:rsidR="008C1E51">
        <w:t>Allaire</w:t>
      </w:r>
      <w:proofErr w:type="spellEnd"/>
      <w:r w:rsidR="008C1E51">
        <w:t xml:space="preserve">, M., Mackay, T., Zheng, S., </w:t>
      </w:r>
      <w:proofErr w:type="spellStart"/>
      <w:r w:rsidR="008C1E51">
        <w:t>Lall</w:t>
      </w:r>
      <w:proofErr w:type="spellEnd"/>
      <w:r w:rsidR="008C1E51">
        <w:t>, U. (2019). Community Response to Impaired Water: Understanding Averting Behavior with Bottled Water Sales. Proceedings of the National Academy of Sciences. (2019-08-30)</w:t>
      </w:r>
      <w:r w:rsidR="008C1E51">
        <w:t xml:space="preserve">: </w:t>
      </w:r>
      <w:hyperlink r:id="rId7" w:history="1">
        <w:r w:rsidR="008C1E51">
          <w:rPr>
            <w:rStyle w:val="Hyperlink"/>
          </w:rPr>
          <w:t>https://doi.org/10.1073/pnas.1905385116</w:t>
        </w:r>
      </w:hyperlink>
    </w:p>
    <w:p w:rsidR="008C1E51" w:rsidRDefault="00533662" w:rsidP="00386C18">
      <w:pPr>
        <w:pStyle w:val="ListParagraph"/>
        <w:numPr>
          <w:ilvl w:val="0"/>
          <w:numId w:val="1"/>
        </w:numPr>
        <w:spacing w:after="0" w:line="240" w:lineRule="auto"/>
      </w:pPr>
      <w:r w:rsidRPr="00533662">
        <w:rPr>
          <w:b/>
        </w:rPr>
        <w:t>Database:</w:t>
      </w:r>
      <w:r>
        <w:t xml:space="preserve"> </w:t>
      </w:r>
      <w:proofErr w:type="spellStart"/>
      <w:r w:rsidR="008C1E51">
        <w:t>Allaire</w:t>
      </w:r>
      <w:proofErr w:type="spellEnd"/>
      <w:r w:rsidR="008C1E51">
        <w:t xml:space="preserve">, M., Mackay, T., Zheng, S., </w:t>
      </w:r>
      <w:proofErr w:type="spellStart"/>
      <w:r w:rsidR="008C1E51">
        <w:t>Lall</w:t>
      </w:r>
      <w:proofErr w:type="spellEnd"/>
      <w:r w:rsidR="008C1E51">
        <w:t>, U. (2019). Community Response to Impaired Water: Understanding Averting Behavior with Bottled Water Sales. Proceedings of the National Academy of Scien</w:t>
      </w:r>
      <w:r w:rsidR="008C1E51">
        <w:t xml:space="preserve">ces: </w:t>
      </w:r>
      <w:hyperlink r:id="rId8" w:history="1">
        <w:r w:rsidR="008C1E51" w:rsidRPr="008D67A0">
          <w:rPr>
            <w:rStyle w:val="Hyperlink"/>
          </w:rPr>
          <w:t>https://dataverse.harvard.edu/dataverse/allaire</w:t>
        </w:r>
      </w:hyperlink>
      <w:r w:rsidR="008C1E51">
        <w:t xml:space="preserve"> </w:t>
      </w:r>
    </w:p>
    <w:p w:rsidR="008C1E51" w:rsidRDefault="008C1E51" w:rsidP="00386C18">
      <w:pPr>
        <w:spacing w:after="0" w:line="240" w:lineRule="auto"/>
      </w:pPr>
    </w:p>
    <w:p w:rsidR="008C1E51" w:rsidRDefault="008C1E51" w:rsidP="00386C18">
      <w:pPr>
        <w:spacing w:after="0" w:line="240" w:lineRule="auto"/>
        <w:rPr>
          <w:b/>
        </w:rPr>
      </w:pPr>
      <w:r w:rsidRPr="008C1E51">
        <w:rPr>
          <w:b/>
        </w:rPr>
        <w:t xml:space="preserve">Meta-Data </w:t>
      </w:r>
    </w:p>
    <w:p w:rsidR="00386C18" w:rsidRDefault="00386C18" w:rsidP="00386C18">
      <w:pPr>
        <w:spacing w:after="0" w:line="240" w:lineRule="auto"/>
        <w:rPr>
          <w:b/>
        </w:rPr>
      </w:pPr>
    </w:p>
    <w:p w:rsidR="00386C18" w:rsidRDefault="00386C18" w:rsidP="00386C18">
      <w:pPr>
        <w:spacing w:after="0" w:line="240" w:lineRule="auto"/>
      </w:pPr>
      <w:r>
        <w:t>S</w:t>
      </w:r>
      <w:r w:rsidRPr="00386C18">
        <w:t xml:space="preserve">ee paper appendix for details: </w:t>
      </w:r>
    </w:p>
    <w:p w:rsidR="00386C18" w:rsidRPr="00386C18" w:rsidRDefault="00386C18" w:rsidP="00386C18">
      <w:pPr>
        <w:spacing w:after="0" w:line="240" w:lineRule="auto"/>
      </w:pPr>
      <w:hyperlink r:id="rId9" w:history="1">
        <w:r w:rsidRPr="00386C18">
          <w:rPr>
            <w:rStyle w:val="Hyperlink"/>
          </w:rPr>
          <w:t>https://www.pnas.org/content/pnas/suppl/2019/09/24/1905385116.DCSupplemental/pnas.1905385116.sapp.pdf</w:t>
        </w:r>
      </w:hyperlink>
      <w:r>
        <w:t>.</w:t>
      </w:r>
    </w:p>
    <w:p w:rsidR="00386C18" w:rsidRDefault="00386C18" w:rsidP="00386C18">
      <w:pPr>
        <w:spacing w:after="0" w:line="240" w:lineRule="auto"/>
        <w:rPr>
          <w:b/>
        </w:rPr>
      </w:pPr>
    </w:p>
    <w:p w:rsidR="00533662" w:rsidRPr="00533662" w:rsidRDefault="00533662" w:rsidP="00386C18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</w:rPr>
        <w:t xml:space="preserve">Violations: </w:t>
      </w:r>
    </w:p>
    <w:p w:rsidR="00386C18" w:rsidRPr="00386C18" w:rsidRDefault="00386C18" w:rsidP="00386C18">
      <w:pPr>
        <w:pStyle w:val="ListParagraph"/>
        <w:numPr>
          <w:ilvl w:val="1"/>
          <w:numId w:val="1"/>
        </w:numPr>
        <w:spacing w:after="0" w:line="240" w:lineRule="auto"/>
      </w:pPr>
      <w:r>
        <w:t>Water v</w:t>
      </w:r>
      <w:r w:rsidRPr="00386C18">
        <w:t xml:space="preserve">iolation data </w:t>
      </w:r>
      <w:r>
        <w:t xml:space="preserve">comes </w:t>
      </w:r>
      <w:r w:rsidRPr="00386C18">
        <w:t>from the EPA Safe Drinking W</w:t>
      </w:r>
      <w:r>
        <w:t xml:space="preserve">ater Information System (SDWIS), </w:t>
      </w:r>
      <w:r w:rsidRPr="00386C18">
        <w:t>2006 to 2015.</w:t>
      </w:r>
      <w:r w:rsidR="00D40E0E">
        <w:t xml:space="preserve"> </w:t>
      </w:r>
      <w:r w:rsidRPr="00386C18">
        <w:t>These data include the contaminant that triggered the violation, start and end date of the violation, and community water system (CWS)</w:t>
      </w:r>
      <w:r>
        <w:t xml:space="preserve"> </w:t>
      </w:r>
      <w:r w:rsidRPr="00386C18">
        <w:t>characteristics, including the number of</w:t>
      </w:r>
      <w:r w:rsidR="00D40E0E">
        <w:t xml:space="preserve"> </w:t>
      </w:r>
      <w:r w:rsidRPr="00386C18">
        <w:t>people</w:t>
      </w:r>
      <w:r w:rsidR="00D40E0E">
        <w:t xml:space="preserve"> </w:t>
      </w:r>
      <w:r w:rsidRPr="00386C18">
        <w:t>and</w:t>
      </w:r>
      <w:r w:rsidR="00D40E0E">
        <w:t xml:space="preserve"> </w:t>
      </w:r>
      <w:r w:rsidRPr="00386C18">
        <w:t>counties</w:t>
      </w:r>
      <w:r w:rsidR="00D40E0E">
        <w:t xml:space="preserve"> </w:t>
      </w:r>
      <w:r w:rsidRPr="00386C18">
        <w:t>served.</w:t>
      </w:r>
      <w:r w:rsidR="00D40E0E">
        <w:t xml:space="preserve">  </w:t>
      </w:r>
      <w:r w:rsidRPr="00386C18">
        <w:t>For</w:t>
      </w:r>
      <w:r w:rsidR="00D40E0E">
        <w:t xml:space="preserve"> </w:t>
      </w:r>
      <w:r w:rsidRPr="00386C18">
        <w:t>CWS</w:t>
      </w:r>
      <w:r w:rsidR="00D40E0E">
        <w:t xml:space="preserve"> </w:t>
      </w:r>
      <w:r w:rsidRPr="00386C18">
        <w:t>that</w:t>
      </w:r>
      <w:r w:rsidR="00D40E0E">
        <w:t xml:space="preserve"> </w:t>
      </w:r>
      <w:r w:rsidRPr="00386C18">
        <w:t>serve</w:t>
      </w:r>
      <w:r w:rsidR="00D40E0E">
        <w:t xml:space="preserve"> </w:t>
      </w:r>
      <w:r w:rsidRPr="00386C18">
        <w:t>multiple</w:t>
      </w:r>
      <w:r w:rsidR="00D40E0E">
        <w:t xml:space="preserve"> </w:t>
      </w:r>
      <w:r w:rsidRPr="00386C18">
        <w:t>counties,</w:t>
      </w:r>
      <w:r w:rsidR="00D40E0E">
        <w:t xml:space="preserve"> </w:t>
      </w:r>
      <w:r w:rsidRPr="00386C18">
        <w:t>we</w:t>
      </w:r>
      <w:r w:rsidR="00D40E0E">
        <w:t xml:space="preserve"> </w:t>
      </w:r>
      <w:r w:rsidRPr="00386C18">
        <w:t>split</w:t>
      </w:r>
      <w:r w:rsidR="00D40E0E">
        <w:t xml:space="preserve"> </w:t>
      </w:r>
      <w:r w:rsidRPr="00386C18">
        <w:t>the</w:t>
      </w:r>
      <w:r w:rsidR="00D40E0E">
        <w:t xml:space="preserve"> </w:t>
      </w:r>
      <w:r w:rsidRPr="00386C18">
        <w:t>population served between counties based on the share of combined population. For example, if a CWS serves two counties, where County A has twice the population of County B, then two-thirds of the service population is designated as County A.</w:t>
      </w:r>
      <w:r w:rsidR="00D40E0E">
        <w:t xml:space="preserve"> </w:t>
      </w:r>
      <w:r w:rsidRPr="00386C18">
        <w:t>Few water systems (n=102) serve multiple counties</w:t>
      </w:r>
      <w:r>
        <w:t>.</w:t>
      </w:r>
    </w:p>
    <w:p w:rsidR="00533662" w:rsidRDefault="00533662" w:rsidP="00386C18">
      <w:pPr>
        <w:pStyle w:val="ListParagraph"/>
        <w:numPr>
          <w:ilvl w:val="1"/>
          <w:numId w:val="1"/>
        </w:numPr>
        <w:spacing w:after="0" w:line="240" w:lineRule="auto"/>
      </w:pPr>
      <w:r w:rsidRPr="00533662">
        <w:rPr>
          <w:u w:val="single"/>
        </w:rPr>
        <w:t>Tier 1</w:t>
      </w:r>
      <w:r w:rsidRPr="00533662">
        <w:t xml:space="preserve"> </w:t>
      </w:r>
      <w:r>
        <w:t xml:space="preserve">violation </w:t>
      </w:r>
      <w:r w:rsidRPr="00533662">
        <w:t xml:space="preserve">notices for noncompliance with total coliform and turbidity state that elevated levels have been found in the water supply and </w:t>
      </w:r>
      <w:r w:rsidRPr="00533662">
        <w:rPr>
          <w:i/>
        </w:rPr>
        <w:t>recommend boiled or bottled water</w:t>
      </w:r>
      <w:r>
        <w:t xml:space="preserve"> </w:t>
      </w:r>
      <w:r w:rsidRPr="00533662">
        <w:rPr>
          <w:i/>
        </w:rPr>
        <w:t>use</w:t>
      </w:r>
      <w:r w:rsidRPr="00533662">
        <w:t>.</w:t>
      </w:r>
      <w:r w:rsidR="005E5DF0">
        <w:t xml:space="preserve"> </w:t>
      </w:r>
      <w:r w:rsidRPr="00533662">
        <w:t>In addition, public notices for a confirmed presence of E. coli</w:t>
      </w:r>
      <w:r>
        <w:t xml:space="preserve"> </w:t>
      </w:r>
      <w:r w:rsidRPr="00533662">
        <w:t>will state that this indicates possible contamination from human or animal wastes, which can cause illness.</w:t>
      </w:r>
      <w:r w:rsidR="005E5DF0">
        <w:t xml:space="preserve"> </w:t>
      </w:r>
      <w:r w:rsidRPr="00533662">
        <w:t>Tier 1 notices for nitrate state that infants under six months old should not</w:t>
      </w:r>
      <w:r w:rsidR="00386C18">
        <w:t xml:space="preserve"> </w:t>
      </w:r>
      <w:r w:rsidRPr="00533662">
        <w:t>drink tap water.</w:t>
      </w:r>
      <w:r w:rsidR="005E5DF0">
        <w:t xml:space="preserve"> </w:t>
      </w:r>
    </w:p>
    <w:p w:rsidR="00533662" w:rsidRDefault="00533662" w:rsidP="00386C18">
      <w:pPr>
        <w:pStyle w:val="ListParagraph"/>
        <w:numPr>
          <w:ilvl w:val="1"/>
          <w:numId w:val="1"/>
        </w:numPr>
        <w:spacing w:after="0" w:line="240" w:lineRule="auto"/>
      </w:pPr>
      <w:r w:rsidRPr="00533662">
        <w:rPr>
          <w:u w:val="single"/>
        </w:rPr>
        <w:t>Tier 2</w:t>
      </w:r>
      <w:r w:rsidRPr="00533662">
        <w:t xml:space="preserve"> violation</w:t>
      </w:r>
      <w:r>
        <w:t xml:space="preserve"> notice</w:t>
      </w:r>
      <w:r w:rsidRPr="00533662">
        <w:t xml:space="preserve">s, </w:t>
      </w:r>
      <w:r w:rsidRPr="00533662">
        <w:rPr>
          <w:i/>
        </w:rPr>
        <w:t>possible health effects</w:t>
      </w:r>
      <w:r w:rsidRPr="00533662">
        <w:t xml:space="preserve"> are only mentioned for some Pathogen</w:t>
      </w:r>
      <w:r>
        <w:t xml:space="preserve"> </w:t>
      </w:r>
      <w:r w:rsidRPr="00533662">
        <w:t>violations.</w:t>
      </w:r>
      <w:r w:rsidR="005E5DF0">
        <w:t xml:space="preserve"> </w:t>
      </w:r>
      <w:r w:rsidRPr="00533662">
        <w:t>Notification for these violations state that there is an increased chance that disease-causing organisms are in the water supply and not all in-home filters can effectively remove parasites.</w:t>
      </w:r>
      <w:r w:rsidR="005E5DF0">
        <w:t xml:space="preserve"> </w:t>
      </w:r>
      <w:r w:rsidRPr="00533662">
        <w:t>Tier 2 violations of ‘Other’ chemical types mention increased health risks due to</w:t>
      </w:r>
      <w:r>
        <w:t xml:space="preserve"> </w:t>
      </w:r>
      <w:r w:rsidRPr="00533662">
        <w:t>drinking tap water with contaminants in excess of the MCL over many years</w:t>
      </w:r>
      <w:r>
        <w:t>.</w:t>
      </w:r>
    </w:p>
    <w:p w:rsidR="005E5DF0" w:rsidRDefault="005E5DF0" w:rsidP="00386C18">
      <w:pPr>
        <w:pStyle w:val="ListParagraph"/>
        <w:spacing w:after="0" w:line="240" w:lineRule="auto"/>
        <w:ind w:left="1440"/>
      </w:pPr>
    </w:p>
    <w:p w:rsidR="00F72622" w:rsidRDefault="00F72622" w:rsidP="00386C18">
      <w:pPr>
        <w:pStyle w:val="ListParagraph"/>
        <w:spacing w:after="0" w:line="240" w:lineRule="auto"/>
        <w:ind w:left="1440"/>
      </w:pPr>
      <w:bookmarkStart w:id="0" w:name="_GoBack"/>
      <w:bookmarkEnd w:id="0"/>
    </w:p>
    <w:tbl>
      <w:tblPr>
        <w:tblStyle w:val="TableGridLight"/>
        <w:tblW w:w="2798" w:type="dxa"/>
        <w:jc w:val="center"/>
        <w:tblLook w:val="04A0" w:firstRow="1" w:lastRow="0" w:firstColumn="1" w:lastColumn="0" w:noHBand="0" w:noVBand="1"/>
      </w:tblPr>
      <w:tblGrid>
        <w:gridCol w:w="2984"/>
      </w:tblGrid>
      <w:tr w:rsidR="00E27562" w:rsidRPr="00E27562" w:rsidTr="00E27562">
        <w:trPr>
          <w:trHeight w:val="288"/>
          <w:jc w:val="center"/>
        </w:trPr>
        <w:tc>
          <w:tcPr>
            <w:tcW w:w="2798" w:type="dxa"/>
            <w:noWrap/>
          </w:tcPr>
          <w:p w:rsidR="00E27562" w:rsidRPr="00E27562" w:rsidRDefault="00E27562" w:rsidP="00E2756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27562">
              <w:rPr>
                <w:rFonts w:ascii="Calibri" w:eastAsia="Times New Roman" w:hAnsi="Calibri" w:cs="Calibri"/>
                <w:b/>
                <w:color w:val="000000"/>
              </w:rPr>
              <w:t>Violations Features</w:t>
            </w:r>
          </w:p>
        </w:tc>
      </w:tr>
      <w:tr w:rsidR="00E27562" w:rsidRPr="00E27562" w:rsidTr="00E27562">
        <w:trPr>
          <w:trHeight w:val="288"/>
          <w:jc w:val="center"/>
        </w:trPr>
        <w:tc>
          <w:tcPr>
            <w:tcW w:w="2798" w:type="dxa"/>
            <w:noWrap/>
            <w:hideMark/>
          </w:tcPr>
          <w:p w:rsidR="00E27562" w:rsidRPr="00E27562" w:rsidRDefault="00E27562" w:rsidP="00E275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27562">
              <w:rPr>
                <w:rFonts w:ascii="Calibri" w:eastAsia="Times New Roman" w:hAnsi="Calibri" w:cs="Calibri"/>
                <w:color w:val="000000"/>
              </w:rPr>
              <w:t>utility_id</w:t>
            </w:r>
            <w:proofErr w:type="spellEnd"/>
          </w:p>
        </w:tc>
      </w:tr>
      <w:tr w:rsidR="00E27562" w:rsidRPr="00E27562" w:rsidTr="00E27562">
        <w:trPr>
          <w:trHeight w:val="288"/>
          <w:jc w:val="center"/>
        </w:trPr>
        <w:tc>
          <w:tcPr>
            <w:tcW w:w="2798" w:type="dxa"/>
            <w:noWrap/>
            <w:hideMark/>
          </w:tcPr>
          <w:p w:rsidR="00E27562" w:rsidRPr="00E27562" w:rsidRDefault="00E27562" w:rsidP="00E275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27562">
              <w:rPr>
                <w:rFonts w:ascii="Calibri" w:eastAsia="Times New Roman" w:hAnsi="Calibri" w:cs="Calibri"/>
                <w:color w:val="000000"/>
              </w:rPr>
              <w:t>location_state_abbrev</w:t>
            </w:r>
            <w:proofErr w:type="spellEnd"/>
          </w:p>
        </w:tc>
      </w:tr>
      <w:tr w:rsidR="00E27562" w:rsidRPr="00E27562" w:rsidTr="00E27562">
        <w:trPr>
          <w:trHeight w:val="288"/>
          <w:jc w:val="center"/>
        </w:trPr>
        <w:tc>
          <w:tcPr>
            <w:tcW w:w="2798" w:type="dxa"/>
            <w:noWrap/>
            <w:hideMark/>
          </w:tcPr>
          <w:p w:rsidR="00E27562" w:rsidRPr="00E27562" w:rsidRDefault="00E27562" w:rsidP="00E27562">
            <w:pPr>
              <w:rPr>
                <w:rFonts w:ascii="Calibri" w:eastAsia="Times New Roman" w:hAnsi="Calibri" w:cs="Calibri"/>
                <w:color w:val="000000"/>
              </w:rPr>
            </w:pPr>
            <w:r w:rsidRPr="00E27562"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</w:tr>
      <w:tr w:rsidR="00E27562" w:rsidRPr="00E27562" w:rsidTr="00E27562">
        <w:trPr>
          <w:trHeight w:val="288"/>
          <w:jc w:val="center"/>
        </w:trPr>
        <w:tc>
          <w:tcPr>
            <w:tcW w:w="2798" w:type="dxa"/>
            <w:noWrap/>
            <w:hideMark/>
          </w:tcPr>
          <w:p w:rsidR="00E27562" w:rsidRPr="00E27562" w:rsidRDefault="00E27562" w:rsidP="00E275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27562">
              <w:rPr>
                <w:rFonts w:ascii="Calibri" w:eastAsia="Times New Roman" w:hAnsi="Calibri" w:cs="Calibri"/>
                <w:color w:val="000000"/>
              </w:rPr>
              <w:t>All_Violation_Categories</w:t>
            </w:r>
            <w:proofErr w:type="spellEnd"/>
          </w:p>
        </w:tc>
      </w:tr>
      <w:tr w:rsidR="00E27562" w:rsidRPr="00E27562" w:rsidTr="00E27562">
        <w:trPr>
          <w:trHeight w:val="288"/>
          <w:jc w:val="center"/>
        </w:trPr>
        <w:tc>
          <w:tcPr>
            <w:tcW w:w="2798" w:type="dxa"/>
            <w:noWrap/>
            <w:hideMark/>
          </w:tcPr>
          <w:p w:rsidR="00E27562" w:rsidRPr="00E27562" w:rsidRDefault="00E27562" w:rsidP="00E275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27562">
              <w:rPr>
                <w:rFonts w:ascii="Calibri" w:eastAsia="Times New Roman" w:hAnsi="Calibri" w:cs="Calibri"/>
                <w:color w:val="000000"/>
              </w:rPr>
              <w:t>Lag_All_Violation_Categories</w:t>
            </w:r>
            <w:proofErr w:type="spellEnd"/>
          </w:p>
        </w:tc>
      </w:tr>
      <w:tr w:rsidR="00E27562" w:rsidRPr="00E27562" w:rsidTr="00E27562">
        <w:trPr>
          <w:trHeight w:val="288"/>
          <w:jc w:val="center"/>
        </w:trPr>
        <w:tc>
          <w:tcPr>
            <w:tcW w:w="2798" w:type="dxa"/>
            <w:noWrap/>
            <w:hideMark/>
          </w:tcPr>
          <w:p w:rsidR="00E27562" w:rsidRPr="00E27562" w:rsidRDefault="00E27562" w:rsidP="00E275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27562">
              <w:rPr>
                <w:rFonts w:ascii="Calibri" w:eastAsia="Times New Roman" w:hAnsi="Calibri" w:cs="Calibri"/>
                <w:color w:val="000000"/>
              </w:rPr>
              <w:t>TotalColiform_Violation</w:t>
            </w:r>
            <w:proofErr w:type="spellEnd"/>
          </w:p>
        </w:tc>
      </w:tr>
      <w:tr w:rsidR="00E27562" w:rsidRPr="00E27562" w:rsidTr="00E27562">
        <w:trPr>
          <w:trHeight w:val="288"/>
          <w:jc w:val="center"/>
        </w:trPr>
        <w:tc>
          <w:tcPr>
            <w:tcW w:w="2798" w:type="dxa"/>
            <w:noWrap/>
            <w:hideMark/>
          </w:tcPr>
          <w:p w:rsidR="00E27562" w:rsidRPr="00E27562" w:rsidRDefault="00E27562" w:rsidP="00E275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27562">
              <w:rPr>
                <w:rFonts w:ascii="Calibri" w:eastAsia="Times New Roman" w:hAnsi="Calibri" w:cs="Calibri"/>
                <w:color w:val="000000"/>
              </w:rPr>
              <w:t>Lag_TotalColiform_Violation</w:t>
            </w:r>
            <w:proofErr w:type="spellEnd"/>
          </w:p>
        </w:tc>
      </w:tr>
      <w:tr w:rsidR="00E27562" w:rsidRPr="00E27562" w:rsidTr="00E27562">
        <w:trPr>
          <w:trHeight w:val="288"/>
          <w:jc w:val="center"/>
        </w:trPr>
        <w:tc>
          <w:tcPr>
            <w:tcW w:w="2798" w:type="dxa"/>
            <w:noWrap/>
            <w:hideMark/>
          </w:tcPr>
          <w:p w:rsidR="00E27562" w:rsidRPr="00E27562" w:rsidRDefault="00E27562" w:rsidP="00E275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27562">
              <w:rPr>
                <w:rFonts w:ascii="Calibri" w:eastAsia="Times New Roman" w:hAnsi="Calibri" w:cs="Calibri"/>
                <w:color w:val="000000"/>
              </w:rPr>
              <w:t>private_ownership</w:t>
            </w:r>
            <w:proofErr w:type="spellEnd"/>
          </w:p>
        </w:tc>
      </w:tr>
      <w:tr w:rsidR="00E27562" w:rsidRPr="00E27562" w:rsidTr="00E27562">
        <w:trPr>
          <w:trHeight w:val="288"/>
          <w:jc w:val="center"/>
        </w:trPr>
        <w:tc>
          <w:tcPr>
            <w:tcW w:w="2798" w:type="dxa"/>
            <w:noWrap/>
            <w:hideMark/>
          </w:tcPr>
          <w:p w:rsidR="00E27562" w:rsidRPr="00E27562" w:rsidRDefault="00E27562" w:rsidP="00E275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27562">
              <w:rPr>
                <w:rFonts w:ascii="Calibri" w:eastAsia="Times New Roman" w:hAnsi="Calibri" w:cs="Calibri"/>
                <w:color w:val="000000"/>
              </w:rPr>
              <w:t>size_medium</w:t>
            </w:r>
            <w:proofErr w:type="spellEnd"/>
          </w:p>
        </w:tc>
      </w:tr>
      <w:tr w:rsidR="00E27562" w:rsidRPr="00E27562" w:rsidTr="00E27562">
        <w:trPr>
          <w:trHeight w:val="288"/>
          <w:jc w:val="center"/>
        </w:trPr>
        <w:tc>
          <w:tcPr>
            <w:tcW w:w="2798" w:type="dxa"/>
            <w:noWrap/>
            <w:hideMark/>
          </w:tcPr>
          <w:p w:rsidR="00E27562" w:rsidRPr="00E27562" w:rsidRDefault="00E27562" w:rsidP="00E275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27562">
              <w:rPr>
                <w:rFonts w:ascii="Calibri" w:eastAsia="Times New Roman" w:hAnsi="Calibri" w:cs="Calibri"/>
                <w:color w:val="000000"/>
              </w:rPr>
              <w:t>size_large</w:t>
            </w:r>
            <w:proofErr w:type="spellEnd"/>
          </w:p>
        </w:tc>
      </w:tr>
      <w:tr w:rsidR="00E27562" w:rsidRPr="00E27562" w:rsidTr="00E27562">
        <w:trPr>
          <w:trHeight w:val="288"/>
          <w:jc w:val="center"/>
        </w:trPr>
        <w:tc>
          <w:tcPr>
            <w:tcW w:w="2798" w:type="dxa"/>
            <w:noWrap/>
            <w:hideMark/>
          </w:tcPr>
          <w:p w:rsidR="00E27562" w:rsidRPr="00E27562" w:rsidRDefault="00E27562" w:rsidP="00E275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27562">
              <w:rPr>
                <w:rFonts w:ascii="Calibri" w:eastAsia="Times New Roman" w:hAnsi="Calibri" w:cs="Calibri"/>
                <w:color w:val="000000"/>
              </w:rPr>
              <w:t>water_source_purchased</w:t>
            </w:r>
            <w:proofErr w:type="spellEnd"/>
          </w:p>
        </w:tc>
      </w:tr>
      <w:tr w:rsidR="00E27562" w:rsidRPr="00E27562" w:rsidTr="00E27562">
        <w:trPr>
          <w:trHeight w:val="288"/>
          <w:jc w:val="center"/>
        </w:trPr>
        <w:tc>
          <w:tcPr>
            <w:tcW w:w="2798" w:type="dxa"/>
            <w:noWrap/>
            <w:hideMark/>
          </w:tcPr>
          <w:p w:rsidR="00E27562" w:rsidRPr="00E27562" w:rsidRDefault="00E27562" w:rsidP="00E275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27562">
              <w:rPr>
                <w:rFonts w:ascii="Calibri" w:eastAsia="Times New Roman" w:hAnsi="Calibri" w:cs="Calibri"/>
                <w:color w:val="000000"/>
              </w:rPr>
              <w:t>water_source_surfacewater</w:t>
            </w:r>
            <w:proofErr w:type="spellEnd"/>
          </w:p>
        </w:tc>
      </w:tr>
      <w:tr w:rsidR="00E27562" w:rsidRPr="00E27562" w:rsidTr="00E27562">
        <w:trPr>
          <w:trHeight w:val="288"/>
          <w:jc w:val="center"/>
        </w:trPr>
        <w:tc>
          <w:tcPr>
            <w:tcW w:w="2798" w:type="dxa"/>
            <w:noWrap/>
            <w:hideMark/>
          </w:tcPr>
          <w:p w:rsidR="00E27562" w:rsidRPr="00E27562" w:rsidRDefault="00E27562" w:rsidP="00E275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27562">
              <w:rPr>
                <w:rFonts w:ascii="Calibri" w:eastAsia="Times New Roman" w:hAnsi="Calibri" w:cs="Calibri"/>
                <w:color w:val="000000"/>
              </w:rPr>
              <w:t>ln_median_household_income</w:t>
            </w:r>
            <w:proofErr w:type="spellEnd"/>
          </w:p>
        </w:tc>
      </w:tr>
      <w:tr w:rsidR="00E27562" w:rsidRPr="00E27562" w:rsidTr="00E27562">
        <w:trPr>
          <w:trHeight w:val="288"/>
          <w:jc w:val="center"/>
        </w:trPr>
        <w:tc>
          <w:tcPr>
            <w:tcW w:w="2798" w:type="dxa"/>
            <w:noWrap/>
            <w:hideMark/>
          </w:tcPr>
          <w:p w:rsidR="00E27562" w:rsidRPr="00E27562" w:rsidRDefault="00E27562" w:rsidP="00E27562">
            <w:pPr>
              <w:rPr>
                <w:rFonts w:ascii="Calibri" w:eastAsia="Times New Roman" w:hAnsi="Calibri" w:cs="Calibri"/>
                <w:color w:val="000000"/>
              </w:rPr>
            </w:pPr>
            <w:r w:rsidRPr="00E27562">
              <w:rPr>
                <w:rFonts w:ascii="Calibri" w:eastAsia="Times New Roman" w:hAnsi="Calibri" w:cs="Calibri"/>
                <w:color w:val="000000"/>
              </w:rPr>
              <w:t>nonwhite</w:t>
            </w:r>
          </w:p>
        </w:tc>
      </w:tr>
      <w:tr w:rsidR="00E27562" w:rsidRPr="00E27562" w:rsidTr="00E27562">
        <w:trPr>
          <w:trHeight w:val="288"/>
          <w:jc w:val="center"/>
        </w:trPr>
        <w:tc>
          <w:tcPr>
            <w:tcW w:w="2798" w:type="dxa"/>
            <w:noWrap/>
            <w:hideMark/>
          </w:tcPr>
          <w:p w:rsidR="00E27562" w:rsidRPr="00E27562" w:rsidRDefault="00E27562" w:rsidP="00E275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27562">
              <w:rPr>
                <w:rFonts w:ascii="Calibri" w:eastAsia="Times New Roman" w:hAnsi="Calibri" w:cs="Calibri"/>
                <w:color w:val="000000"/>
              </w:rPr>
              <w:t>ln_housing_density</w:t>
            </w:r>
            <w:proofErr w:type="spellEnd"/>
          </w:p>
        </w:tc>
      </w:tr>
      <w:tr w:rsidR="00E27562" w:rsidRPr="00E27562" w:rsidTr="00E27562">
        <w:trPr>
          <w:trHeight w:val="288"/>
          <w:jc w:val="center"/>
        </w:trPr>
        <w:tc>
          <w:tcPr>
            <w:tcW w:w="2798" w:type="dxa"/>
            <w:noWrap/>
            <w:hideMark/>
          </w:tcPr>
          <w:p w:rsidR="00E27562" w:rsidRPr="00E27562" w:rsidRDefault="00E27562" w:rsidP="00E275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27562">
              <w:rPr>
                <w:rFonts w:ascii="Calibri" w:eastAsia="Times New Roman" w:hAnsi="Calibri" w:cs="Calibri"/>
                <w:color w:val="000000"/>
              </w:rPr>
              <w:t>hhi</w:t>
            </w:r>
            <w:proofErr w:type="spellEnd"/>
          </w:p>
        </w:tc>
      </w:tr>
    </w:tbl>
    <w:p w:rsidR="00E27562" w:rsidRDefault="00E27562" w:rsidP="00386C18">
      <w:pPr>
        <w:pStyle w:val="ListParagraph"/>
        <w:spacing w:after="0" w:line="240" w:lineRule="auto"/>
        <w:ind w:left="1440"/>
      </w:pPr>
    </w:p>
    <w:p w:rsidR="00E27562" w:rsidRDefault="00E27562" w:rsidP="00386C18">
      <w:pPr>
        <w:pStyle w:val="ListParagraph"/>
        <w:spacing w:after="0" w:line="240" w:lineRule="auto"/>
        <w:ind w:left="1440"/>
      </w:pPr>
    </w:p>
    <w:p w:rsidR="005E5DF0" w:rsidRDefault="005E5DF0" w:rsidP="00386C18">
      <w:pPr>
        <w:pStyle w:val="ListParagraph"/>
        <w:numPr>
          <w:ilvl w:val="0"/>
          <w:numId w:val="1"/>
        </w:numPr>
        <w:spacing w:after="0" w:line="240" w:lineRule="auto"/>
      </w:pPr>
      <w:r w:rsidRPr="005E5DF0">
        <w:rPr>
          <w:b/>
        </w:rPr>
        <w:t>Bottled Water Sales</w:t>
      </w:r>
      <w:r>
        <w:t>:</w:t>
      </w:r>
    </w:p>
    <w:p w:rsidR="005E5DF0" w:rsidRDefault="005E5DF0" w:rsidP="00386C18">
      <w:pPr>
        <w:pStyle w:val="ListParagraph"/>
        <w:numPr>
          <w:ilvl w:val="1"/>
          <w:numId w:val="1"/>
        </w:numPr>
        <w:spacing w:after="0" w:line="240" w:lineRule="auto"/>
      </w:pPr>
      <w:r>
        <w:t>B</w:t>
      </w:r>
      <w:r w:rsidRPr="005E5DF0">
        <w:t>ottled water consumption uses weekly sales (Sunday to Saturday) from the</w:t>
      </w:r>
      <w:r>
        <w:t xml:space="preserve"> </w:t>
      </w:r>
      <w:r w:rsidRPr="005E5DF0">
        <w:t>Nielsen Retail Scanner dataset for weeks from January 1, 2006 to December 31, 2015.</w:t>
      </w:r>
      <w:r>
        <w:t xml:space="preserve"> </w:t>
      </w:r>
      <w:r w:rsidRPr="005E5DF0">
        <w:t>The Nielsen dataset includes grocery</w:t>
      </w:r>
      <w:r>
        <w:t xml:space="preserve"> </w:t>
      </w:r>
      <w:r w:rsidRPr="005E5DF0">
        <w:t>stores,</w:t>
      </w:r>
      <w:r>
        <w:t xml:space="preserve"> </w:t>
      </w:r>
      <w:r w:rsidRPr="005E5DF0">
        <w:t>drugstores,</w:t>
      </w:r>
      <w:r>
        <w:t xml:space="preserve"> </w:t>
      </w:r>
      <w:r w:rsidRPr="005E5DF0">
        <w:t>convenience</w:t>
      </w:r>
      <w:r>
        <w:t xml:space="preserve"> </w:t>
      </w:r>
      <w:r w:rsidRPr="005E5DF0">
        <w:t>stores,</w:t>
      </w:r>
      <w:r>
        <w:t xml:space="preserve"> </w:t>
      </w:r>
      <w:r w:rsidRPr="005E5DF0">
        <w:t>and</w:t>
      </w:r>
      <w:r>
        <w:t xml:space="preserve"> </w:t>
      </w:r>
      <w:r w:rsidRPr="005E5DF0">
        <w:t>mass</w:t>
      </w:r>
      <w:r>
        <w:t xml:space="preserve"> </w:t>
      </w:r>
      <w:r w:rsidRPr="005E5DF0">
        <w:t>merchandisers</w:t>
      </w:r>
      <w:r>
        <w:t xml:space="preserve"> </w:t>
      </w:r>
      <w:r w:rsidRPr="005E5DF0">
        <w:t>(e.g.</w:t>
      </w:r>
      <w:r>
        <w:t xml:space="preserve">, </w:t>
      </w:r>
      <w:r w:rsidRPr="005E5DF0">
        <w:t>club, Walmart, military,</w:t>
      </w:r>
      <w:r>
        <w:t xml:space="preserve"> </w:t>
      </w:r>
      <w:r w:rsidRPr="005E5DF0">
        <w:t>dollar</w:t>
      </w:r>
      <w:r>
        <w:t xml:space="preserve"> </w:t>
      </w:r>
      <w:r w:rsidRPr="005E5DF0">
        <w:t>stores).</w:t>
      </w:r>
      <w:r w:rsidR="00D40E0E">
        <w:t xml:space="preserve"> </w:t>
      </w:r>
      <w:r w:rsidRPr="005E5DF0">
        <w:t>These</w:t>
      </w:r>
      <w:r>
        <w:t xml:space="preserve"> </w:t>
      </w:r>
      <w:r w:rsidRPr="005E5DF0">
        <w:t>stores</w:t>
      </w:r>
      <w:r>
        <w:t xml:space="preserve"> </w:t>
      </w:r>
      <w:r w:rsidRPr="005E5DF0">
        <w:t>are affiliated</w:t>
      </w:r>
      <w:r>
        <w:t xml:space="preserve"> </w:t>
      </w:r>
      <w:r w:rsidRPr="005E5DF0">
        <w:t>with</w:t>
      </w:r>
      <w:r>
        <w:t xml:space="preserve"> </w:t>
      </w:r>
      <w:r w:rsidRPr="005E5DF0">
        <w:t>about</w:t>
      </w:r>
      <w:r>
        <w:t xml:space="preserve"> </w:t>
      </w:r>
      <w:r w:rsidRPr="005E5DF0">
        <w:t>90</w:t>
      </w:r>
      <w:r>
        <w:t xml:space="preserve"> </w:t>
      </w:r>
      <w:r w:rsidRPr="005E5DF0">
        <w:t>participating</w:t>
      </w:r>
      <w:r>
        <w:t xml:space="preserve"> </w:t>
      </w:r>
      <w:r w:rsidRPr="005E5DF0">
        <w:t>retail chains and are estimated by Nielsen to represent over</w:t>
      </w:r>
      <w:r w:rsidR="00386C18">
        <w:t xml:space="preserve"> </w:t>
      </w:r>
      <w:r w:rsidRPr="005E5DF0">
        <w:t>half of total sales volume of U.S. grocery and drug stores as well as</w:t>
      </w:r>
      <w:r w:rsidR="00386C18">
        <w:t xml:space="preserve"> </w:t>
      </w:r>
      <w:r w:rsidRPr="005E5DF0">
        <w:t>more than 30% of mass merchandiser sales volume.</w:t>
      </w:r>
      <w:r w:rsidR="00386C18">
        <w:t xml:space="preserve"> </w:t>
      </w:r>
      <w:r w:rsidRPr="005E5DF0">
        <w:t>It should be noted that conclusions drawn from these data are our own and Nielsen had no role in the</w:t>
      </w:r>
      <w:r>
        <w:t xml:space="preserve"> </w:t>
      </w:r>
      <w:r w:rsidRPr="005E5DF0">
        <w:t>analysis.</w:t>
      </w:r>
      <w:r w:rsidR="00D40E0E">
        <w:t xml:space="preserve"> </w:t>
      </w:r>
      <w:r w:rsidRPr="005E5DF0">
        <w:t>Our</w:t>
      </w:r>
      <w:r>
        <w:t xml:space="preserve"> </w:t>
      </w:r>
      <w:r w:rsidRPr="005E5DF0">
        <w:t>assembled</w:t>
      </w:r>
      <w:r>
        <w:t xml:space="preserve"> </w:t>
      </w:r>
      <w:r w:rsidRPr="005E5DF0">
        <w:t>dataset</w:t>
      </w:r>
      <w:r>
        <w:t xml:space="preserve"> </w:t>
      </w:r>
      <w:r w:rsidRPr="005E5DF0">
        <w:t>includes</w:t>
      </w:r>
      <w:r>
        <w:t xml:space="preserve"> </w:t>
      </w:r>
      <w:r w:rsidRPr="005E5DF0">
        <w:t>sales</w:t>
      </w:r>
      <w:r>
        <w:t xml:space="preserve"> </w:t>
      </w:r>
      <w:r w:rsidRPr="005E5DF0">
        <w:t>in</w:t>
      </w:r>
      <w:r>
        <w:t xml:space="preserve"> </w:t>
      </w:r>
      <w:r w:rsidRPr="005E5DF0">
        <w:t>dollars</w:t>
      </w:r>
      <w:r>
        <w:t xml:space="preserve"> </w:t>
      </w:r>
      <w:r w:rsidRPr="005E5DF0">
        <w:t>for</w:t>
      </w:r>
      <w:r>
        <w:t xml:space="preserve"> </w:t>
      </w:r>
      <w:r w:rsidRPr="005E5DF0">
        <w:t>over</w:t>
      </w:r>
      <w:r>
        <w:t xml:space="preserve"> </w:t>
      </w:r>
      <w:r w:rsidRPr="005E5DF0">
        <w:t>5,000</w:t>
      </w:r>
      <w:r>
        <w:t xml:space="preserve"> </w:t>
      </w:r>
      <w:r w:rsidRPr="005E5DF0">
        <w:t>Universal</w:t>
      </w:r>
      <w:r>
        <w:t xml:space="preserve"> </w:t>
      </w:r>
      <w:r w:rsidRPr="005E5DF0">
        <w:t>Product Codes (UPCs) of bottled water, which include flavored and unflavored water, as well as different container</w:t>
      </w:r>
      <w:r>
        <w:t xml:space="preserve"> </w:t>
      </w:r>
      <w:r w:rsidRPr="005E5DF0">
        <w:t>sizes</w:t>
      </w:r>
      <w:r>
        <w:t xml:space="preserve"> </w:t>
      </w:r>
      <w:r w:rsidRPr="005E5DF0">
        <w:t>of</w:t>
      </w:r>
      <w:r>
        <w:t xml:space="preserve"> </w:t>
      </w:r>
      <w:r w:rsidRPr="005E5DF0">
        <w:t>the</w:t>
      </w:r>
      <w:r>
        <w:t xml:space="preserve"> </w:t>
      </w:r>
      <w:r w:rsidRPr="005E5DF0">
        <w:t>same</w:t>
      </w:r>
      <w:r>
        <w:t xml:space="preserve"> </w:t>
      </w:r>
      <w:r w:rsidRPr="005E5DF0">
        <w:t>product.</w:t>
      </w:r>
      <w:r w:rsidR="00D40E0E">
        <w:t xml:space="preserve"> </w:t>
      </w:r>
      <w:r w:rsidRPr="005E5DF0">
        <w:t>Since</w:t>
      </w:r>
      <w:r>
        <w:t xml:space="preserve"> </w:t>
      </w:r>
      <w:r w:rsidRPr="005E5DF0">
        <w:t>the</w:t>
      </w:r>
      <w:r>
        <w:t xml:space="preserve"> </w:t>
      </w:r>
      <w:r w:rsidRPr="005E5DF0">
        <w:t>Nielsen</w:t>
      </w:r>
      <w:r>
        <w:t xml:space="preserve"> </w:t>
      </w:r>
      <w:r w:rsidRPr="005E5DF0">
        <w:t>dataset</w:t>
      </w:r>
      <w:r>
        <w:t xml:space="preserve"> </w:t>
      </w:r>
      <w:r w:rsidRPr="005E5DF0">
        <w:t>does</w:t>
      </w:r>
      <w:r>
        <w:t xml:space="preserve"> </w:t>
      </w:r>
      <w:r w:rsidRPr="005E5DF0">
        <w:t>not</w:t>
      </w:r>
      <w:r>
        <w:t xml:space="preserve"> </w:t>
      </w:r>
      <w:r w:rsidRPr="005E5DF0">
        <w:t>consistently</w:t>
      </w:r>
      <w:r>
        <w:t xml:space="preserve"> </w:t>
      </w:r>
      <w:r w:rsidRPr="005E5DF0">
        <w:t>provide information about volume of water sold, we define our dependent variable as the log of aggregate sales in dollars (constant $2015) for all UPCs by county and week. We exclude stores that report sales during fewer than 469 weeks, which represents 90% of the weeks in our study period.</w:t>
      </w:r>
      <w:r>
        <w:t xml:space="preserve"> </w:t>
      </w:r>
    </w:p>
    <w:p w:rsidR="00D40E0E" w:rsidRDefault="00D40E0E" w:rsidP="00D40E0E">
      <w:pPr>
        <w:pStyle w:val="ListParagraph"/>
        <w:spacing w:after="0" w:line="240" w:lineRule="auto"/>
      </w:pPr>
    </w:p>
    <w:p w:rsidR="00D40E0E" w:rsidRPr="00D40E0E" w:rsidRDefault="00D40E0E" w:rsidP="00D40E0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40E0E">
        <w:rPr>
          <w:b/>
        </w:rPr>
        <w:t>Weather Data</w:t>
      </w:r>
    </w:p>
    <w:p w:rsidR="00D40E0E" w:rsidRDefault="00D40E0E" w:rsidP="00D40E0E">
      <w:pPr>
        <w:pStyle w:val="ListParagraph"/>
        <w:numPr>
          <w:ilvl w:val="1"/>
          <w:numId w:val="1"/>
        </w:numPr>
        <w:spacing w:after="0" w:line="240" w:lineRule="auto"/>
      </w:pPr>
      <w:r w:rsidRPr="00D40E0E">
        <w:t>Temperature</w:t>
      </w:r>
      <w:r>
        <w:t xml:space="preserve"> </w:t>
      </w:r>
      <w:r w:rsidRPr="00D40E0E">
        <w:t>and</w:t>
      </w:r>
      <w:r>
        <w:t xml:space="preserve"> </w:t>
      </w:r>
      <w:r w:rsidRPr="00D40E0E">
        <w:t>precipitation</w:t>
      </w:r>
      <w:r>
        <w:t xml:space="preserve"> </w:t>
      </w:r>
      <w:r w:rsidRPr="00D40E0E">
        <w:t>data</w:t>
      </w:r>
      <w:r>
        <w:t xml:space="preserve"> </w:t>
      </w:r>
      <w:r w:rsidRPr="00D40E0E">
        <w:t>were</w:t>
      </w:r>
      <w:r>
        <w:t xml:space="preserve"> </w:t>
      </w:r>
      <w:r w:rsidRPr="00D40E0E">
        <w:t>obtained</w:t>
      </w:r>
      <w:r>
        <w:t xml:space="preserve"> </w:t>
      </w:r>
      <w:r w:rsidRPr="00D40E0E">
        <w:t>from</w:t>
      </w:r>
      <w:r>
        <w:t xml:space="preserve"> </w:t>
      </w:r>
      <w:r w:rsidRPr="00D40E0E">
        <w:t>the</w:t>
      </w:r>
      <w:r>
        <w:t xml:space="preserve"> </w:t>
      </w:r>
      <w:r w:rsidRPr="00D40E0E">
        <w:t>NOAA</w:t>
      </w:r>
      <w:r>
        <w:t xml:space="preserve"> </w:t>
      </w:r>
      <w:r w:rsidRPr="00D40E0E">
        <w:t>National</w:t>
      </w:r>
      <w:r>
        <w:t xml:space="preserve"> </w:t>
      </w:r>
      <w:r w:rsidRPr="00D40E0E">
        <w:t>Centers</w:t>
      </w:r>
      <w:r>
        <w:t xml:space="preserve"> </w:t>
      </w:r>
      <w:r w:rsidRPr="00D40E0E">
        <w:t>for Environmental</w:t>
      </w:r>
      <w:r>
        <w:t xml:space="preserve"> </w:t>
      </w:r>
      <w:r w:rsidRPr="00D40E0E">
        <w:t>Prediction</w:t>
      </w:r>
      <w:r>
        <w:t xml:space="preserve"> </w:t>
      </w:r>
      <w:r w:rsidRPr="00D40E0E">
        <w:t>(NCEP).</w:t>
      </w:r>
      <w:r>
        <w:t xml:space="preserve">  </w:t>
      </w:r>
      <w:r w:rsidRPr="00D40E0E">
        <w:t>Daily</w:t>
      </w:r>
      <w:r>
        <w:t xml:space="preserve"> </w:t>
      </w:r>
      <w:r w:rsidRPr="00D40E0E">
        <w:t>average</w:t>
      </w:r>
      <w:r>
        <w:t xml:space="preserve"> </w:t>
      </w:r>
      <w:r w:rsidRPr="00D40E0E">
        <w:t>air</w:t>
      </w:r>
      <w:r>
        <w:t xml:space="preserve"> </w:t>
      </w:r>
      <w:r w:rsidRPr="00D40E0E">
        <w:t>temperature</w:t>
      </w:r>
      <w:r>
        <w:t xml:space="preserve"> </w:t>
      </w:r>
      <w:r w:rsidRPr="00D40E0E">
        <w:t>is</w:t>
      </w:r>
      <w:r>
        <w:t xml:space="preserve"> </w:t>
      </w:r>
      <w:r w:rsidRPr="00D40E0E">
        <w:t>from</w:t>
      </w:r>
      <w:r>
        <w:t xml:space="preserve"> </w:t>
      </w:r>
      <w:r w:rsidRPr="00D40E0E">
        <w:t>the</w:t>
      </w:r>
      <w:r>
        <w:t xml:space="preserve"> </w:t>
      </w:r>
      <w:r w:rsidRPr="00D40E0E">
        <w:t>NCEP</w:t>
      </w:r>
      <w:r>
        <w:t xml:space="preserve"> </w:t>
      </w:r>
      <w:r w:rsidRPr="00D40E0E">
        <w:t>North American Regional Reanalysis (NARR) dataset, which has a 32km resolution.</w:t>
      </w:r>
      <w:r>
        <w:t xml:space="preserve"> </w:t>
      </w:r>
      <w:r w:rsidRPr="00D40E0E">
        <w:t>Daily average precipitation was from the U.S. Climate Prediction Center (CPC) Gauge-Based Analysis of Global Daily</w:t>
      </w:r>
      <w:r>
        <w:t xml:space="preserve"> </w:t>
      </w:r>
      <w:r w:rsidRPr="00D40E0E">
        <w:t>Precipitation.</w:t>
      </w:r>
      <w:r>
        <w:t xml:space="preserve">  </w:t>
      </w:r>
      <w:r w:rsidRPr="00D40E0E">
        <w:t>This</w:t>
      </w:r>
      <w:r>
        <w:t xml:space="preserve"> </w:t>
      </w:r>
      <w:r w:rsidRPr="00D40E0E">
        <w:t>is</w:t>
      </w:r>
      <w:r>
        <w:t xml:space="preserve"> </w:t>
      </w:r>
      <w:r w:rsidRPr="00D40E0E">
        <w:t>a</w:t>
      </w:r>
      <w:r>
        <w:t xml:space="preserve"> </w:t>
      </w:r>
      <w:r w:rsidRPr="00D40E0E">
        <w:t>global</w:t>
      </w:r>
      <w:r>
        <w:t xml:space="preserve"> </w:t>
      </w:r>
      <w:r w:rsidRPr="00D40E0E">
        <w:t>dataset</w:t>
      </w:r>
      <w:r>
        <w:t xml:space="preserve"> </w:t>
      </w:r>
      <w:r w:rsidRPr="00D40E0E">
        <w:t>available</w:t>
      </w:r>
      <w:r>
        <w:t xml:space="preserve"> </w:t>
      </w:r>
      <w:r w:rsidRPr="00D40E0E">
        <w:t>at</w:t>
      </w:r>
      <w:r>
        <w:t xml:space="preserve"> </w:t>
      </w:r>
      <w:r w:rsidRPr="00D40E0E">
        <w:t>0.5-degree</w:t>
      </w:r>
      <w:r>
        <w:t xml:space="preserve"> </w:t>
      </w:r>
      <w:r w:rsidRPr="00D40E0E">
        <w:t>resolution.</w:t>
      </w:r>
      <w:r>
        <w:t xml:space="preserve">  </w:t>
      </w:r>
      <w:r w:rsidRPr="00D40E0E">
        <w:t>Gridded climate</w:t>
      </w:r>
      <w:r>
        <w:t xml:space="preserve"> </w:t>
      </w:r>
      <w:r w:rsidRPr="00D40E0E">
        <w:t>data</w:t>
      </w:r>
      <w:r>
        <w:t xml:space="preserve"> </w:t>
      </w:r>
      <w:r w:rsidRPr="00D40E0E">
        <w:t>was</w:t>
      </w:r>
      <w:r>
        <w:t xml:space="preserve"> </w:t>
      </w:r>
      <w:r w:rsidRPr="00D40E0E">
        <w:t>converted</w:t>
      </w:r>
      <w:r>
        <w:t xml:space="preserve"> </w:t>
      </w:r>
      <w:r w:rsidRPr="00D40E0E">
        <w:t>to</w:t>
      </w:r>
      <w:r>
        <w:t xml:space="preserve"> </w:t>
      </w:r>
      <w:r w:rsidRPr="00D40E0E">
        <w:t>county-level</w:t>
      </w:r>
      <w:r>
        <w:t xml:space="preserve"> </w:t>
      </w:r>
      <w:r w:rsidRPr="00D40E0E">
        <w:t>information</w:t>
      </w:r>
      <w:r>
        <w:t xml:space="preserve"> </w:t>
      </w:r>
      <w:r w:rsidRPr="00D40E0E">
        <w:t>by</w:t>
      </w:r>
      <w:r>
        <w:t xml:space="preserve"> </w:t>
      </w:r>
      <w:r w:rsidRPr="00D40E0E">
        <w:t>calculating</w:t>
      </w:r>
      <w:r>
        <w:t xml:space="preserve"> </w:t>
      </w:r>
      <w:r w:rsidRPr="00D40E0E">
        <w:t>average</w:t>
      </w:r>
      <w:r>
        <w:t xml:space="preserve"> </w:t>
      </w:r>
      <w:r w:rsidRPr="00D40E0E">
        <w:t>values</w:t>
      </w:r>
      <w:r>
        <w:t xml:space="preserve"> </w:t>
      </w:r>
      <w:r w:rsidRPr="00D40E0E">
        <w:t>of</w:t>
      </w:r>
      <w:r>
        <w:t xml:space="preserve"> </w:t>
      </w:r>
      <w:r w:rsidRPr="00D40E0E">
        <w:t>cells within county boundaries.</w:t>
      </w:r>
      <w:r>
        <w:t xml:space="preserve"> </w:t>
      </w:r>
      <w:r w:rsidRPr="00D40E0E">
        <w:t>Number of rainy days in a given week and county was calculated based on the number of days that average precipitation was 1mm or greater.</w:t>
      </w:r>
      <w:r>
        <w:t xml:space="preserve"> </w:t>
      </w:r>
    </w:p>
    <w:p w:rsidR="00D40E0E" w:rsidRDefault="00D40E0E" w:rsidP="00D40E0E">
      <w:pPr>
        <w:pStyle w:val="ListParagraph"/>
        <w:spacing w:after="0" w:line="240" w:lineRule="auto"/>
      </w:pPr>
    </w:p>
    <w:p w:rsidR="00D40E0E" w:rsidRPr="00D40E0E" w:rsidRDefault="00D40E0E" w:rsidP="00D40E0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40E0E">
        <w:rPr>
          <w:b/>
        </w:rPr>
        <w:t>Demographic Data</w:t>
      </w:r>
    </w:p>
    <w:p w:rsidR="00D40E0E" w:rsidRDefault="00D40E0E" w:rsidP="00D40E0E">
      <w:pPr>
        <w:pStyle w:val="ListParagraph"/>
        <w:numPr>
          <w:ilvl w:val="1"/>
          <w:numId w:val="1"/>
        </w:numPr>
        <w:spacing w:after="0" w:line="240" w:lineRule="auto"/>
      </w:pPr>
      <w:r w:rsidRPr="00D40E0E">
        <w:t>Annual, county-level Census characteristics include median household income, housing density, percent nonwhite population, and median year housing stock built.</w:t>
      </w:r>
      <w:r>
        <w:t xml:space="preserve"> </w:t>
      </w:r>
      <w:r w:rsidRPr="00D40E0E">
        <w:t>These demographic data were obtained from the decennial census in 2010 and the American Community Survey data in years of 2006,</w:t>
      </w:r>
      <w:r>
        <w:t xml:space="preserve"> </w:t>
      </w:r>
      <w:r w:rsidRPr="00D40E0E">
        <w:t>2008,</w:t>
      </w:r>
      <w:r>
        <w:t xml:space="preserve"> </w:t>
      </w:r>
      <w:r w:rsidRPr="00D40E0E">
        <w:t>and</w:t>
      </w:r>
      <w:r>
        <w:t xml:space="preserve"> </w:t>
      </w:r>
      <w:r w:rsidRPr="00D40E0E">
        <w:t>2012.</w:t>
      </w:r>
      <w:r>
        <w:t xml:space="preserve">  </w:t>
      </w:r>
      <w:r w:rsidRPr="00D40E0E">
        <w:t>Values</w:t>
      </w:r>
      <w:r>
        <w:t xml:space="preserve"> </w:t>
      </w:r>
      <w:r w:rsidRPr="00D40E0E">
        <w:t>in</w:t>
      </w:r>
      <w:r>
        <w:t xml:space="preserve"> </w:t>
      </w:r>
      <w:r w:rsidRPr="00D40E0E">
        <w:t>inter-census</w:t>
      </w:r>
      <w:r>
        <w:t xml:space="preserve"> </w:t>
      </w:r>
      <w:r w:rsidRPr="00D40E0E">
        <w:t>years</w:t>
      </w:r>
      <w:r>
        <w:t xml:space="preserve"> </w:t>
      </w:r>
      <w:r w:rsidRPr="00D40E0E">
        <w:t>were</w:t>
      </w:r>
      <w:r>
        <w:t xml:space="preserve"> </w:t>
      </w:r>
      <w:r w:rsidRPr="00D40E0E">
        <w:t>estimated</w:t>
      </w:r>
      <w:r>
        <w:t xml:space="preserve"> </w:t>
      </w:r>
      <w:r w:rsidRPr="00D40E0E">
        <w:t>using</w:t>
      </w:r>
      <w:r>
        <w:t xml:space="preserve"> </w:t>
      </w:r>
      <w:r w:rsidRPr="00D40E0E">
        <w:t>monotone</w:t>
      </w:r>
      <w:r>
        <w:t xml:space="preserve"> </w:t>
      </w:r>
      <w:r w:rsidRPr="00D40E0E">
        <w:t>piecewise cubic interpolation</w:t>
      </w:r>
      <w:r>
        <w:t>.</w:t>
      </w:r>
    </w:p>
    <w:p w:rsidR="00E27562" w:rsidRDefault="00E27562" w:rsidP="00E27562">
      <w:pPr>
        <w:spacing w:after="0" w:line="240" w:lineRule="auto"/>
      </w:pPr>
    </w:p>
    <w:p w:rsidR="00E27562" w:rsidRDefault="00E27562" w:rsidP="00E27562">
      <w:pPr>
        <w:spacing w:after="0" w:line="240" w:lineRule="auto"/>
      </w:pPr>
    </w:p>
    <w:tbl>
      <w:tblPr>
        <w:tblStyle w:val="TableGridLight"/>
        <w:tblW w:w="3379" w:type="dxa"/>
        <w:jc w:val="center"/>
        <w:tblLook w:val="04A0" w:firstRow="1" w:lastRow="0" w:firstColumn="1" w:lastColumn="0" w:noHBand="0" w:noVBand="1"/>
      </w:tblPr>
      <w:tblGrid>
        <w:gridCol w:w="3565"/>
      </w:tblGrid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</w:tcPr>
          <w:p w:rsidR="00F72622" w:rsidRPr="00F72622" w:rsidRDefault="00F72622" w:rsidP="00F7262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72622">
              <w:rPr>
                <w:rFonts w:ascii="Calibri" w:eastAsia="Times New Roman" w:hAnsi="Calibri" w:cs="Calibri"/>
                <w:b/>
                <w:color w:val="000000"/>
              </w:rPr>
              <w:t>Water Quality &amp; Sales</w:t>
            </w:r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2622">
              <w:rPr>
                <w:rFonts w:ascii="Calibri" w:eastAsia="Times New Roman" w:hAnsi="Calibri" w:cs="Calibri"/>
                <w:color w:val="000000"/>
              </w:rPr>
              <w:t>fips</w:t>
            </w:r>
            <w:proofErr w:type="spellEnd"/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r w:rsidRPr="00F72622"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r w:rsidRPr="00F72622">
              <w:rPr>
                <w:rFonts w:ascii="Calibri" w:eastAsia="Times New Roman" w:hAnsi="Calibri" w:cs="Calibri"/>
                <w:color w:val="000000"/>
              </w:rPr>
              <w:t>week</w:t>
            </w:r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2622">
              <w:rPr>
                <w:rFonts w:ascii="Calibri" w:eastAsia="Times New Roman" w:hAnsi="Calibri" w:cs="Calibri"/>
                <w:color w:val="000000"/>
              </w:rPr>
              <w:t>nweeks</w:t>
            </w:r>
            <w:proofErr w:type="spellEnd"/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2622">
              <w:rPr>
                <w:rFonts w:ascii="Calibri" w:eastAsia="Times New Roman" w:hAnsi="Calibri" w:cs="Calibri"/>
                <w:color w:val="000000"/>
              </w:rPr>
              <w:t>ln_water_sales</w:t>
            </w:r>
            <w:proofErr w:type="spellEnd"/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r w:rsidRPr="00F72622">
              <w:rPr>
                <w:rFonts w:ascii="Calibri" w:eastAsia="Times New Roman" w:hAnsi="Calibri" w:cs="Calibri"/>
                <w:color w:val="000000"/>
              </w:rPr>
              <w:t>tier1_violation</w:t>
            </w:r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r w:rsidRPr="00F72622">
              <w:rPr>
                <w:rFonts w:ascii="Calibri" w:eastAsia="Times New Roman" w:hAnsi="Calibri" w:cs="Calibri"/>
                <w:color w:val="000000"/>
              </w:rPr>
              <w:t>tier1_BPV_violation</w:t>
            </w:r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r w:rsidRPr="00F72622">
              <w:rPr>
                <w:rFonts w:ascii="Calibri" w:eastAsia="Times New Roman" w:hAnsi="Calibri" w:cs="Calibri"/>
                <w:color w:val="000000"/>
              </w:rPr>
              <w:t>tier1_NN_violation</w:t>
            </w:r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r w:rsidRPr="00F72622">
              <w:rPr>
                <w:rFonts w:ascii="Calibri" w:eastAsia="Times New Roman" w:hAnsi="Calibri" w:cs="Calibri"/>
                <w:color w:val="000000"/>
              </w:rPr>
              <w:t>tier2_violation</w:t>
            </w:r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r w:rsidRPr="00F72622">
              <w:rPr>
                <w:rFonts w:ascii="Calibri" w:eastAsia="Times New Roman" w:hAnsi="Calibri" w:cs="Calibri"/>
                <w:color w:val="000000"/>
              </w:rPr>
              <w:t>tier2_BPV_violation</w:t>
            </w:r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r w:rsidRPr="00F72622">
              <w:rPr>
                <w:rFonts w:ascii="Calibri" w:eastAsia="Times New Roman" w:hAnsi="Calibri" w:cs="Calibri"/>
                <w:color w:val="000000"/>
              </w:rPr>
              <w:t>tier2_other_violation</w:t>
            </w:r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2622">
              <w:rPr>
                <w:rFonts w:ascii="Calibri" w:eastAsia="Times New Roman" w:hAnsi="Calibri" w:cs="Calibri"/>
                <w:color w:val="000000"/>
              </w:rPr>
              <w:t>temp_mean</w:t>
            </w:r>
            <w:proofErr w:type="spellEnd"/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2622">
              <w:rPr>
                <w:rFonts w:ascii="Calibri" w:eastAsia="Times New Roman" w:hAnsi="Calibri" w:cs="Calibri"/>
                <w:color w:val="000000"/>
              </w:rPr>
              <w:t>precip_rainy_days</w:t>
            </w:r>
            <w:proofErr w:type="spellEnd"/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2622">
              <w:rPr>
                <w:rFonts w:ascii="Calibri" w:eastAsia="Times New Roman" w:hAnsi="Calibri" w:cs="Calibri"/>
                <w:color w:val="000000"/>
              </w:rPr>
              <w:t>ln_deflated_median_household_nc</w:t>
            </w:r>
            <w:proofErr w:type="spellEnd"/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2622">
              <w:rPr>
                <w:rFonts w:ascii="Calibri" w:eastAsia="Times New Roman" w:hAnsi="Calibri" w:cs="Calibri"/>
                <w:color w:val="000000"/>
              </w:rPr>
              <w:t>ln_housing_density</w:t>
            </w:r>
            <w:proofErr w:type="spellEnd"/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r w:rsidRPr="00F72622">
              <w:rPr>
                <w:rFonts w:ascii="Calibri" w:eastAsia="Times New Roman" w:hAnsi="Calibri" w:cs="Calibri"/>
                <w:color w:val="000000"/>
              </w:rPr>
              <w:t>nonwhite</w:t>
            </w:r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2622">
              <w:rPr>
                <w:rFonts w:ascii="Calibri" w:eastAsia="Times New Roman" w:hAnsi="Calibri" w:cs="Calibri"/>
                <w:color w:val="000000"/>
              </w:rPr>
              <w:t>ln_median_year_structure_built</w:t>
            </w:r>
            <w:proofErr w:type="spellEnd"/>
          </w:p>
        </w:tc>
      </w:tr>
      <w:tr w:rsidR="00F72622" w:rsidRPr="00F72622" w:rsidTr="00F72622">
        <w:trPr>
          <w:trHeight w:val="288"/>
          <w:jc w:val="center"/>
        </w:trPr>
        <w:tc>
          <w:tcPr>
            <w:tcW w:w="3379" w:type="dxa"/>
            <w:noWrap/>
            <w:hideMark/>
          </w:tcPr>
          <w:p w:rsidR="00F72622" w:rsidRPr="00F72622" w:rsidRDefault="00F72622" w:rsidP="00F7262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2622">
              <w:rPr>
                <w:rFonts w:ascii="Calibri" w:eastAsia="Times New Roman" w:hAnsi="Calibri" w:cs="Calibri"/>
                <w:color w:val="000000"/>
              </w:rPr>
              <w:t>deflated_median_household_income</w:t>
            </w:r>
            <w:proofErr w:type="spellEnd"/>
          </w:p>
        </w:tc>
      </w:tr>
    </w:tbl>
    <w:p w:rsidR="00F72622" w:rsidRPr="00533662" w:rsidRDefault="00F72622" w:rsidP="00E27562">
      <w:pPr>
        <w:spacing w:after="0" w:line="240" w:lineRule="auto"/>
      </w:pPr>
    </w:p>
    <w:sectPr w:rsidR="00F72622" w:rsidRPr="00533662" w:rsidSect="0053366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38E" w:rsidRDefault="0080538E" w:rsidP="005E5DF0">
      <w:pPr>
        <w:spacing w:after="0" w:line="240" w:lineRule="auto"/>
      </w:pPr>
      <w:r>
        <w:separator/>
      </w:r>
    </w:p>
  </w:endnote>
  <w:endnote w:type="continuationSeparator" w:id="0">
    <w:p w:rsidR="0080538E" w:rsidRDefault="0080538E" w:rsidP="005E5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95333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5DF0" w:rsidRDefault="005E5D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6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5DF0" w:rsidRDefault="005E5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38E" w:rsidRDefault="0080538E" w:rsidP="005E5DF0">
      <w:pPr>
        <w:spacing w:after="0" w:line="240" w:lineRule="auto"/>
      </w:pPr>
      <w:r>
        <w:separator/>
      </w:r>
    </w:p>
  </w:footnote>
  <w:footnote w:type="continuationSeparator" w:id="0">
    <w:p w:rsidR="0080538E" w:rsidRDefault="0080538E" w:rsidP="005E5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622" w:rsidRPr="00F72622" w:rsidRDefault="00F72622">
    <w:pPr>
      <w:pStyle w:val="Header"/>
      <w:rPr>
        <w:sz w:val="20"/>
      </w:rPr>
    </w:pPr>
    <w:hyperlink r:id="rId1" w:history="1">
      <w:r w:rsidRPr="00F72622">
        <w:rPr>
          <w:rStyle w:val="Hyperlink"/>
          <w:sz w:val="20"/>
        </w:rPr>
        <w:t>https://umich.instructure.com/courses/38100/files/folder/Case_Studies/33_US_WaterQuality_BottledWaterSales_2006_2019Data</w:t>
      </w:r>
    </w:hyperlink>
    <w:r w:rsidRPr="00F72622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F652E"/>
    <w:multiLevelType w:val="hybridMultilevel"/>
    <w:tmpl w:val="B918865E"/>
    <w:lvl w:ilvl="0" w:tplc="34002B4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B1"/>
    <w:rsid w:val="00386C18"/>
    <w:rsid w:val="003C42FA"/>
    <w:rsid w:val="00533662"/>
    <w:rsid w:val="005E5DF0"/>
    <w:rsid w:val="007D42A2"/>
    <w:rsid w:val="0080538E"/>
    <w:rsid w:val="008C1E51"/>
    <w:rsid w:val="008C6005"/>
    <w:rsid w:val="00C94CB1"/>
    <w:rsid w:val="00D40E0E"/>
    <w:rsid w:val="00E27562"/>
    <w:rsid w:val="00F7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40F3"/>
  <w15:chartTrackingRefBased/>
  <w15:docId w15:val="{3629C78C-E29F-4660-9E5B-D1ED15E7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wire-cite-metadata-doi">
    <w:name w:val="highwire-cite-metadata-doi"/>
    <w:basedOn w:val="DefaultParagraphFont"/>
    <w:rsid w:val="008C1E51"/>
  </w:style>
  <w:style w:type="character" w:styleId="Hyperlink">
    <w:name w:val="Hyperlink"/>
    <w:basedOn w:val="DefaultParagraphFont"/>
    <w:uiPriority w:val="99"/>
    <w:unhideWhenUsed/>
    <w:rsid w:val="008C1E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4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DF0"/>
  </w:style>
  <w:style w:type="paragraph" w:styleId="Footer">
    <w:name w:val="footer"/>
    <w:basedOn w:val="Normal"/>
    <w:link w:val="FooterChar"/>
    <w:uiPriority w:val="99"/>
    <w:unhideWhenUsed/>
    <w:rsid w:val="005E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DF0"/>
  </w:style>
  <w:style w:type="table" w:styleId="TableGridLight">
    <w:name w:val="Grid Table Light"/>
    <w:basedOn w:val="TableNormal"/>
    <w:uiPriority w:val="40"/>
    <w:rsid w:val="00E275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verse.harvard.edu/dataverse/allai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73/pnas.19053851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nas.org/content/pnas/suppl/2019/09/24/1905385116.DCSupplemental/pnas.1905385116.sapp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mich.instructure.com/courses/38100/files/folder/Case_Studies/33_US_WaterQuality_BottledWaterSales_2006_2019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Dinov, Ivo</dc:creator>
  <cp:keywords/>
  <dc:description/>
  <cp:lastModifiedBy>Dinov, Ivo</cp:lastModifiedBy>
  <cp:revision>8</cp:revision>
  <dcterms:created xsi:type="dcterms:W3CDTF">2020-12-07T15:29:00Z</dcterms:created>
  <dcterms:modified xsi:type="dcterms:W3CDTF">2020-12-07T16:04:00Z</dcterms:modified>
</cp:coreProperties>
</file>